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337B" w14:textId="73DF3EB0" w:rsidR="009344CF" w:rsidRPr="00145E00" w:rsidRDefault="009344CF" w:rsidP="00145E00">
      <w:pPr>
        <w:spacing w:line="0" w:lineRule="atLeast"/>
        <w:jc w:val="center"/>
        <w:rPr>
          <w:rFonts w:ascii="UD デジタル 教科書体 NK-R" w:eastAsia="UD デジタル 教科書体 NK-R"/>
          <w:b/>
          <w:bCs/>
          <w:sz w:val="36"/>
          <w:szCs w:val="36"/>
        </w:rPr>
      </w:pPr>
      <w:r w:rsidRPr="00145E00">
        <w:rPr>
          <w:rFonts w:ascii="UD デジタル 教科書体 NK-R" w:eastAsia="UD デジタル 教科書体 NK-R" w:hint="eastAsia"/>
          <w:b/>
          <w:bCs/>
          <w:sz w:val="36"/>
          <w:szCs w:val="36"/>
        </w:rPr>
        <w:t>職場環境等要件</w:t>
      </w:r>
    </w:p>
    <w:p w14:paraId="5674D1D5" w14:textId="77777777" w:rsidR="00145E00" w:rsidRPr="00145E00" w:rsidRDefault="00145E00" w:rsidP="00145E00">
      <w:pPr>
        <w:spacing w:line="0" w:lineRule="atLeast"/>
        <w:jc w:val="center"/>
        <w:rPr>
          <w:rFonts w:ascii="UD デジタル 教科書体 NK-R" w:eastAsia="UD デジタル 教科書体 NK-R" w:hint="eastAsia"/>
          <w:sz w:val="24"/>
          <w:szCs w:val="24"/>
        </w:rPr>
      </w:pPr>
    </w:p>
    <w:tbl>
      <w:tblPr>
        <w:tblStyle w:val="a3"/>
        <w:tblW w:w="10485" w:type="dxa"/>
        <w:tblLook w:val="04A0" w:firstRow="1" w:lastRow="0" w:firstColumn="1" w:lastColumn="0" w:noHBand="0" w:noVBand="1"/>
      </w:tblPr>
      <w:tblGrid>
        <w:gridCol w:w="1696"/>
        <w:gridCol w:w="3966"/>
        <w:gridCol w:w="4823"/>
      </w:tblGrid>
      <w:tr w:rsidR="009344CF" w:rsidRPr="00145E00" w14:paraId="7D9F5494" w14:textId="77777777" w:rsidTr="009344CF">
        <w:tc>
          <w:tcPr>
            <w:tcW w:w="1696" w:type="dxa"/>
          </w:tcPr>
          <w:p w14:paraId="797537FE" w14:textId="77777777" w:rsidR="009344CF" w:rsidRPr="00145E00" w:rsidRDefault="009344CF" w:rsidP="00145E00">
            <w:pPr>
              <w:spacing w:line="0" w:lineRule="atLeast"/>
              <w:rPr>
                <w:rFonts w:ascii="UD デジタル 教科書体 NK-R" w:eastAsia="UD デジタル 教科書体 NK-R" w:hint="eastAsia"/>
                <w:sz w:val="24"/>
                <w:szCs w:val="24"/>
              </w:rPr>
            </w:pPr>
          </w:p>
        </w:tc>
        <w:tc>
          <w:tcPr>
            <w:tcW w:w="3966" w:type="dxa"/>
          </w:tcPr>
          <w:p w14:paraId="20F212E5" w14:textId="3FEB3536" w:rsidR="009344CF" w:rsidRPr="00145E00" w:rsidRDefault="009344CF" w:rsidP="00145E00">
            <w:pPr>
              <w:spacing w:line="0" w:lineRule="atLeast"/>
              <w:jc w:val="center"/>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内容</w:t>
            </w:r>
          </w:p>
        </w:tc>
        <w:tc>
          <w:tcPr>
            <w:tcW w:w="4823" w:type="dxa"/>
          </w:tcPr>
          <w:p w14:paraId="01CBAC58" w14:textId="1A5C268C" w:rsidR="009344CF" w:rsidRPr="00145E00" w:rsidRDefault="009344CF" w:rsidP="00145E00">
            <w:pPr>
              <w:spacing w:line="0" w:lineRule="atLeast"/>
              <w:jc w:val="center"/>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実施事項</w:t>
            </w:r>
          </w:p>
        </w:tc>
      </w:tr>
      <w:tr w:rsidR="009344CF" w:rsidRPr="00145E00" w14:paraId="236F18B3" w14:textId="77777777" w:rsidTr="00145E00">
        <w:tc>
          <w:tcPr>
            <w:tcW w:w="1696" w:type="dxa"/>
            <w:shd w:val="clear" w:color="auto" w:fill="E2EFD9" w:themeFill="accent6" w:themeFillTint="33"/>
            <w:vAlign w:val="center"/>
          </w:tcPr>
          <w:p w14:paraId="647C9CD7" w14:textId="18D00B49" w:rsidR="009344CF" w:rsidRPr="00145E00" w:rsidRDefault="009344CF" w:rsidP="00145E00">
            <w:pPr>
              <w:spacing w:line="0" w:lineRule="atLeast"/>
              <w:jc w:val="center"/>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資質の向上</w:t>
            </w:r>
          </w:p>
        </w:tc>
        <w:tc>
          <w:tcPr>
            <w:tcW w:w="3966" w:type="dxa"/>
          </w:tcPr>
          <w:p w14:paraId="1B99C43E" w14:textId="7749C807" w:rsidR="009344CF" w:rsidRPr="00145E00" w:rsidRDefault="009344CF"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働きながら介護福祉士取得を目指す者に対する実務者研修受講支援や、より専門性の高い介護技術を習得しようとする者に対する喀痰吸引、認知症ケア、サービス提供責任者研修、中堅職員に対するマネジメント研修の受講支援（研修受講時の他の介護職員の負担を軽減するための代替職員確保を含む）</w:t>
            </w:r>
          </w:p>
        </w:tc>
        <w:tc>
          <w:tcPr>
            <w:tcW w:w="4823" w:type="dxa"/>
          </w:tcPr>
          <w:p w14:paraId="7A1DB8D8" w14:textId="77777777" w:rsidR="009344CF" w:rsidRPr="00145E00" w:rsidRDefault="009344CF"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①介護福祉士受験の要件となる実務者研修費用と受験費用の全額助成制度。</w:t>
            </w:r>
          </w:p>
          <w:p w14:paraId="1FA465A5" w14:textId="77777777" w:rsidR="009344CF" w:rsidRPr="00145E00" w:rsidRDefault="009344CF"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「介護福祉士資格助成制度」</w:t>
            </w:r>
          </w:p>
          <w:p w14:paraId="2B60E2EE" w14:textId="77777777"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（平成26年7月1日より実施）</w:t>
            </w:r>
          </w:p>
          <w:p w14:paraId="221F21BB" w14:textId="77777777"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②各種研修の受講支援及び費用を法人にて全額負担。</w:t>
            </w:r>
          </w:p>
          <w:p w14:paraId="32AC4E21" w14:textId="77777777"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③毎月行っている社内研修、希望して受ける外部研修、資格取得の為の受講時間等全て勤務時間とみなす。</w:t>
            </w:r>
          </w:p>
          <w:p w14:paraId="750A33B8" w14:textId="10CC618C"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（平成26年7月1日より実施）</w:t>
            </w:r>
          </w:p>
        </w:tc>
      </w:tr>
      <w:tr w:rsidR="009344CF" w:rsidRPr="00145E00" w14:paraId="3500920E" w14:textId="77777777" w:rsidTr="00145E00">
        <w:tc>
          <w:tcPr>
            <w:tcW w:w="1696" w:type="dxa"/>
            <w:shd w:val="clear" w:color="auto" w:fill="FFF2CC" w:themeFill="accent4" w:themeFillTint="33"/>
            <w:vAlign w:val="center"/>
          </w:tcPr>
          <w:p w14:paraId="7813526E" w14:textId="0E107726" w:rsidR="009344CF" w:rsidRPr="00145E00" w:rsidRDefault="009344CF" w:rsidP="00145E00">
            <w:pPr>
              <w:spacing w:line="0" w:lineRule="atLeast"/>
              <w:jc w:val="center"/>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労働環境・処遇の改善</w:t>
            </w:r>
          </w:p>
        </w:tc>
        <w:tc>
          <w:tcPr>
            <w:tcW w:w="3966" w:type="dxa"/>
          </w:tcPr>
          <w:p w14:paraId="184E4A23" w14:textId="21EB3DFD" w:rsidR="009344CF" w:rsidRPr="00145E00" w:rsidRDefault="009344CF"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子育てとの両立を目指す者のための育児休業制度等の充実、事業所内保育施設の充実</w:t>
            </w:r>
          </w:p>
        </w:tc>
        <w:tc>
          <w:tcPr>
            <w:tcW w:w="4823" w:type="dxa"/>
          </w:tcPr>
          <w:p w14:paraId="0E7EE414" w14:textId="1767BEBE" w:rsidR="009344CF"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育児・看護休業法に基づく子の看護休暇・介護休暇について、法を上回る制度として平成27年4月1日より時間単位で取得できるものとし、子育てとの両立を支援している。</w:t>
            </w:r>
          </w:p>
        </w:tc>
      </w:tr>
      <w:tr w:rsidR="009412D7" w:rsidRPr="00145E00" w14:paraId="0B97CA89" w14:textId="77777777" w:rsidTr="00145E00">
        <w:tc>
          <w:tcPr>
            <w:tcW w:w="1696" w:type="dxa"/>
            <w:vMerge w:val="restart"/>
            <w:shd w:val="clear" w:color="auto" w:fill="FBE4D5" w:themeFill="accent2" w:themeFillTint="33"/>
            <w:vAlign w:val="center"/>
          </w:tcPr>
          <w:p w14:paraId="71F0052A" w14:textId="560DC958" w:rsidR="009412D7" w:rsidRPr="00145E00" w:rsidRDefault="009412D7" w:rsidP="00145E00">
            <w:pPr>
              <w:spacing w:line="0" w:lineRule="atLeast"/>
              <w:jc w:val="center"/>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その他</w:t>
            </w:r>
          </w:p>
        </w:tc>
        <w:tc>
          <w:tcPr>
            <w:tcW w:w="3966" w:type="dxa"/>
          </w:tcPr>
          <w:p w14:paraId="2003138C" w14:textId="0F50D307"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介護サービス情報公表制度の活用による経営・人材育成理念の見える化</w:t>
            </w:r>
          </w:p>
        </w:tc>
        <w:tc>
          <w:tcPr>
            <w:tcW w:w="4823" w:type="dxa"/>
          </w:tcPr>
          <w:p w14:paraId="31119BEE" w14:textId="6724E697"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朝礼で毎日経営理念を唱和し全職員一丸となり共有を図っている</w:t>
            </w:r>
          </w:p>
        </w:tc>
      </w:tr>
      <w:tr w:rsidR="009412D7" w:rsidRPr="00145E00" w14:paraId="6DE95D63" w14:textId="77777777" w:rsidTr="00145E00">
        <w:tc>
          <w:tcPr>
            <w:tcW w:w="1696" w:type="dxa"/>
            <w:vMerge/>
            <w:shd w:val="clear" w:color="auto" w:fill="FBE4D5" w:themeFill="accent2" w:themeFillTint="33"/>
          </w:tcPr>
          <w:p w14:paraId="5941B1C6" w14:textId="77777777" w:rsidR="009412D7" w:rsidRPr="00145E00" w:rsidRDefault="009412D7" w:rsidP="00145E00">
            <w:pPr>
              <w:spacing w:line="0" w:lineRule="atLeast"/>
              <w:rPr>
                <w:rFonts w:ascii="UD デジタル 教科書体 NK-R" w:eastAsia="UD デジタル 教科書体 NK-R" w:hint="eastAsia"/>
                <w:sz w:val="24"/>
                <w:szCs w:val="24"/>
              </w:rPr>
            </w:pPr>
          </w:p>
        </w:tc>
        <w:tc>
          <w:tcPr>
            <w:tcW w:w="3966" w:type="dxa"/>
          </w:tcPr>
          <w:p w14:paraId="484DE820" w14:textId="27DB134B"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障害を有する者でも働きやすい職場環境構築や勤務シフト配慮</w:t>
            </w:r>
          </w:p>
        </w:tc>
        <w:tc>
          <w:tcPr>
            <w:tcW w:w="4823" w:type="dxa"/>
          </w:tcPr>
          <w:p w14:paraId="6FCEDC61" w14:textId="200C9D6F"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無理のない業務プログラムを各人に作成するとともに、他の職員もその内容を共有して協働を図っている。</w:t>
            </w:r>
          </w:p>
        </w:tc>
      </w:tr>
      <w:tr w:rsidR="009412D7" w:rsidRPr="00145E00" w14:paraId="6DFEA3CC" w14:textId="77777777" w:rsidTr="00145E00">
        <w:tc>
          <w:tcPr>
            <w:tcW w:w="1696" w:type="dxa"/>
            <w:vMerge/>
            <w:shd w:val="clear" w:color="auto" w:fill="FBE4D5" w:themeFill="accent2" w:themeFillTint="33"/>
          </w:tcPr>
          <w:p w14:paraId="2CB08B63" w14:textId="77777777" w:rsidR="009412D7" w:rsidRPr="00145E00" w:rsidRDefault="009412D7" w:rsidP="00145E00">
            <w:pPr>
              <w:spacing w:line="0" w:lineRule="atLeast"/>
              <w:rPr>
                <w:rFonts w:ascii="UD デジタル 教科書体 NK-R" w:eastAsia="UD デジタル 教科書体 NK-R" w:hint="eastAsia"/>
                <w:sz w:val="24"/>
                <w:szCs w:val="24"/>
              </w:rPr>
            </w:pPr>
          </w:p>
        </w:tc>
        <w:tc>
          <w:tcPr>
            <w:tcW w:w="3966" w:type="dxa"/>
          </w:tcPr>
          <w:p w14:paraId="0BE02883" w14:textId="06ABA2F3"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非正規職員から正規職員への転換</w:t>
            </w:r>
          </w:p>
        </w:tc>
        <w:tc>
          <w:tcPr>
            <w:tcW w:w="4823" w:type="dxa"/>
          </w:tcPr>
          <w:p w14:paraId="317EF15F" w14:textId="266E85FF"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正職員への</w:t>
            </w:r>
            <w:r w:rsidR="00145E00" w:rsidRPr="00145E00">
              <w:rPr>
                <w:rFonts w:ascii="UD デジタル 教科書体 NK-R" w:eastAsia="UD デジタル 教科書体 NK-R" w:hint="eastAsia"/>
                <w:sz w:val="28"/>
                <w:szCs w:val="28"/>
              </w:rPr>
              <w:t>転換を希望するパートタイム労働者について要件を満たす場合、正職員として採用する。</w:t>
            </w:r>
          </w:p>
        </w:tc>
      </w:tr>
      <w:tr w:rsidR="009412D7" w:rsidRPr="00145E00" w14:paraId="10F5ED64" w14:textId="77777777" w:rsidTr="00145E00">
        <w:tc>
          <w:tcPr>
            <w:tcW w:w="1696" w:type="dxa"/>
            <w:vMerge/>
            <w:shd w:val="clear" w:color="auto" w:fill="FBE4D5" w:themeFill="accent2" w:themeFillTint="33"/>
          </w:tcPr>
          <w:p w14:paraId="5CDEC497" w14:textId="77777777" w:rsidR="009412D7" w:rsidRPr="00145E00" w:rsidRDefault="009412D7" w:rsidP="00145E00">
            <w:pPr>
              <w:spacing w:line="0" w:lineRule="atLeast"/>
              <w:rPr>
                <w:rFonts w:ascii="UD デジタル 教科書体 NK-R" w:eastAsia="UD デジタル 教科書体 NK-R" w:hint="eastAsia"/>
                <w:sz w:val="24"/>
                <w:szCs w:val="24"/>
              </w:rPr>
            </w:pPr>
          </w:p>
        </w:tc>
        <w:tc>
          <w:tcPr>
            <w:tcW w:w="3966" w:type="dxa"/>
          </w:tcPr>
          <w:p w14:paraId="6928BBE1" w14:textId="15B8862B"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地域の児童・生徒や住民との交流による地域包括ケアの一員としてのモチベーション向上</w:t>
            </w:r>
          </w:p>
        </w:tc>
        <w:tc>
          <w:tcPr>
            <w:tcW w:w="4823" w:type="dxa"/>
          </w:tcPr>
          <w:p w14:paraId="5ABC9D93" w14:textId="041484CE" w:rsidR="009412D7" w:rsidRPr="00145E00" w:rsidRDefault="00145E00"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毎年開催される施設の</w:t>
            </w:r>
            <w:r w:rsidRPr="00145E00">
              <w:rPr>
                <w:rFonts w:ascii="UD デジタル 教科書体 NK-R" w:eastAsia="UD デジタル 教科書体 NK-R" w:hint="eastAsia"/>
                <w:sz w:val="28"/>
                <w:szCs w:val="28"/>
              </w:rPr>
              <w:t>夏</w:t>
            </w:r>
            <w:r w:rsidRPr="00145E00">
              <w:rPr>
                <w:rFonts w:ascii="UD デジタル 教科書体 NK-R" w:eastAsia="UD デジタル 教科書体 NK-R" w:hint="eastAsia"/>
                <w:sz w:val="28"/>
                <w:szCs w:val="28"/>
              </w:rPr>
              <w:t>祭等に地域住民を招待して交流を図っている。</w:t>
            </w:r>
          </w:p>
        </w:tc>
      </w:tr>
      <w:tr w:rsidR="009412D7" w:rsidRPr="00145E00" w14:paraId="0ACCAA31" w14:textId="77777777" w:rsidTr="00145E00">
        <w:tc>
          <w:tcPr>
            <w:tcW w:w="1696" w:type="dxa"/>
            <w:vMerge/>
            <w:shd w:val="clear" w:color="auto" w:fill="FBE4D5" w:themeFill="accent2" w:themeFillTint="33"/>
          </w:tcPr>
          <w:p w14:paraId="70484190" w14:textId="77777777" w:rsidR="009412D7" w:rsidRPr="00145E00" w:rsidRDefault="009412D7" w:rsidP="00145E00">
            <w:pPr>
              <w:spacing w:line="0" w:lineRule="atLeast"/>
              <w:rPr>
                <w:rFonts w:ascii="UD デジタル 教科書体 NK-R" w:eastAsia="UD デジタル 教科書体 NK-R" w:hint="eastAsia"/>
                <w:sz w:val="24"/>
                <w:szCs w:val="24"/>
              </w:rPr>
            </w:pPr>
          </w:p>
        </w:tc>
        <w:tc>
          <w:tcPr>
            <w:tcW w:w="3966" w:type="dxa"/>
          </w:tcPr>
          <w:p w14:paraId="1F081B0A" w14:textId="236C0799" w:rsidR="009412D7" w:rsidRPr="00145E00" w:rsidRDefault="009412D7"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職員の増員による業務負担の軽減</w:t>
            </w:r>
          </w:p>
        </w:tc>
        <w:tc>
          <w:tcPr>
            <w:tcW w:w="4823" w:type="dxa"/>
          </w:tcPr>
          <w:p w14:paraId="15020D80" w14:textId="75A20331" w:rsidR="009412D7" w:rsidRPr="00145E00" w:rsidRDefault="00145E00" w:rsidP="00145E00">
            <w:pPr>
              <w:spacing w:line="0" w:lineRule="atLeast"/>
              <w:rPr>
                <w:rFonts w:ascii="UD デジタル 教科書体 NK-R" w:eastAsia="UD デジタル 教科書体 NK-R" w:hint="eastAsia"/>
                <w:sz w:val="28"/>
                <w:szCs w:val="28"/>
              </w:rPr>
            </w:pPr>
            <w:r w:rsidRPr="00145E00">
              <w:rPr>
                <w:rFonts w:ascii="UD デジタル 教科書体 NK-R" w:eastAsia="UD デジタル 教科書体 NK-R" w:hint="eastAsia"/>
                <w:sz w:val="28"/>
                <w:szCs w:val="28"/>
              </w:rPr>
              <w:t>補助業務を切り分けて職員を採用するなど、効率化を図りつつ積極的に職員の採用を進め、国の配置基準以上の職員配置を敷いている。</w:t>
            </w:r>
          </w:p>
        </w:tc>
      </w:tr>
    </w:tbl>
    <w:p w14:paraId="77EB970E" w14:textId="77777777" w:rsidR="009344CF" w:rsidRDefault="009344CF">
      <w:pPr>
        <w:rPr>
          <w:rFonts w:hint="eastAsia"/>
        </w:rPr>
      </w:pPr>
    </w:p>
    <w:sectPr w:rsidR="009344CF" w:rsidSect="009344C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CF"/>
    <w:rsid w:val="00145E00"/>
    <w:rsid w:val="009344CF"/>
    <w:rsid w:val="0094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509D4"/>
  <w15:chartTrackingRefBased/>
  <w15:docId w15:val="{C7E7DDE1-16C2-42D5-85B9-2A6DF79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ＣＡＮ</dc:creator>
  <cp:keywords/>
  <dc:description/>
  <cp:lastModifiedBy>株式会社 ＣＡＮ</cp:lastModifiedBy>
  <cp:revision>1</cp:revision>
  <dcterms:created xsi:type="dcterms:W3CDTF">2021-04-22T04:09:00Z</dcterms:created>
  <dcterms:modified xsi:type="dcterms:W3CDTF">2021-04-22T04:34:00Z</dcterms:modified>
</cp:coreProperties>
</file>